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1405D" w14:textId="77777777" w:rsidR="00FE27CA" w:rsidRDefault="00A42D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186E36A3" w:rsidR="00FE27CA" w:rsidRDefault="00424AA5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A42D25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B31F7">
        <w:rPr>
          <w:rFonts w:ascii="Arial" w:hAnsi="Arial" w:cs="Arial"/>
          <w:b/>
          <w:color w:val="auto"/>
          <w:sz w:val="24"/>
          <w:szCs w:val="24"/>
        </w:rPr>
        <w:t>1</w:t>
      </w:r>
      <w:bookmarkStart w:id="0" w:name="_GoBack"/>
      <w:bookmarkEnd w:id="0"/>
      <w:r w:rsidR="00A42D25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ap</w:t>
            </w:r>
            <w:r w:rsidR="00914D4E">
              <w:rPr>
                <w:rFonts w:ascii="Arial" w:hAnsi="Arial" w:cs="Arial"/>
                <w:color w:val="000000"/>
                <w:sz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biomolekularnych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0D1C363C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0FA8EE57" w:rsidR="00FE27CA" w:rsidRDefault="000F131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424AA5">
              <w:rPr>
                <w:rFonts w:ascii="Arial" w:hAnsi="Arial" w:cs="Arial"/>
                <w:sz w:val="18"/>
                <w:szCs w:val="20"/>
              </w:rPr>
              <w:t>0,00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094C08A5" w:rsidR="00FE27CA" w:rsidRDefault="00A42D25" w:rsidP="006106F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424AA5">
              <w:rPr>
                <w:rFonts w:ascii="Arial" w:hAnsi="Arial" w:cs="Arial"/>
                <w:sz w:val="18"/>
                <w:szCs w:val="20"/>
              </w:rPr>
              <w:t>0</w:t>
            </w:r>
            <w:r w:rsidR="00080934">
              <w:rPr>
                <w:rFonts w:ascii="Arial" w:hAnsi="Arial" w:cs="Arial"/>
                <w:sz w:val="18"/>
                <w:szCs w:val="20"/>
              </w:rPr>
              <w:t>,</w:t>
            </w:r>
            <w:r w:rsidR="006106F7">
              <w:rPr>
                <w:rFonts w:ascii="Arial" w:hAnsi="Arial" w:cs="Arial"/>
                <w:sz w:val="18"/>
                <w:szCs w:val="20"/>
              </w:rPr>
              <w:t>32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080934">
              <w:rPr>
                <w:rFonts w:ascii="Arial" w:hAnsi="Arial" w:cs="Arial"/>
                <w:sz w:val="18"/>
                <w:szCs w:val="20"/>
              </w:rPr>
              <w:t>0,</w:t>
            </w:r>
            <w:r w:rsidR="00A92D97">
              <w:rPr>
                <w:rFonts w:ascii="Arial" w:hAnsi="Arial" w:cs="Arial"/>
                <w:sz w:val="18"/>
                <w:szCs w:val="20"/>
              </w:rPr>
              <w:t>3</w:t>
            </w:r>
            <w:r w:rsidR="006106F7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00B21E11" w14:textId="77777777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1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70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77777777" w:rsidR="00FE27CA" w:rsidRDefault="00FE27CA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17EF133" w14:textId="77777777" w:rsidR="00FE27CA" w:rsidRDefault="00A42D25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221E2" w14:paraId="4104CEEE" w14:textId="77777777" w:rsidTr="00784A18">
        <w:tc>
          <w:tcPr>
            <w:tcW w:w="2127" w:type="dxa"/>
            <w:shd w:val="clear" w:color="auto" w:fill="auto"/>
            <w:vAlign w:val="center"/>
          </w:tcPr>
          <w:p w14:paraId="1727DE1A" w14:textId="77777777" w:rsidR="00E221E2" w:rsidRPr="00487B5C" w:rsidRDefault="00E221E2" w:rsidP="00E221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1 - Instalacja, uruchomienie i obsługa systemu Informatycznego Local EGA (LEGA)</w:t>
            </w:r>
          </w:p>
        </w:tc>
        <w:tc>
          <w:tcPr>
            <w:tcW w:w="1984" w:type="dxa"/>
            <w:shd w:val="clear" w:color="auto" w:fill="auto"/>
          </w:tcPr>
          <w:p w14:paraId="6F804AD5" w14:textId="77777777" w:rsidR="00E221E2" w:rsidRPr="00487B5C" w:rsidRDefault="00E221E2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C0D8" w14:textId="77777777" w:rsidR="00E221E2" w:rsidRPr="00487B5C" w:rsidRDefault="00E221E2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shd w:val="clear" w:color="auto" w:fill="auto"/>
          </w:tcPr>
          <w:p w14:paraId="1BC9F4DD" w14:textId="77777777" w:rsidR="00E221E2" w:rsidRPr="00487B5C" w:rsidRDefault="00E221E2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2DC38652" w14:textId="3ACD74F5" w:rsidR="00E221E2" w:rsidRPr="00487B5C" w:rsidRDefault="00962EA3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</w:t>
            </w:r>
            <w:r w:rsidR="006E41C3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alizacji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77777777" w:rsidR="00B55B65" w:rsidRPr="00487B5C" w:rsidRDefault="00B55B65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0E26F9C4" w:rsidR="00B55B65" w:rsidRPr="00487B5C" w:rsidRDefault="000F1310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56096C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2021-09-30</w:t>
            </w: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89AE3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2021-11-30</w:t>
            </w: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6400FE68" w14:textId="5C509151" w:rsidR="00B55B65" w:rsidRPr="00487B5C" w:rsidRDefault="00480D61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Uruchomienie produkcyjne i wsparcie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3F99CB5D" w:rsidR="00B55B65" w:rsidRPr="00487B5C" w:rsidRDefault="006E41C3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B55B65" w14:paraId="7DCD49CE" w14:textId="77777777" w:rsidTr="00784A18">
        <w:tc>
          <w:tcPr>
            <w:tcW w:w="2127" w:type="dxa"/>
            <w:shd w:val="clear" w:color="auto" w:fill="auto"/>
            <w:vAlign w:val="center"/>
          </w:tcPr>
          <w:p w14:paraId="4563C6A7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- Digitalizacja Zasobów</w:t>
            </w:r>
          </w:p>
        </w:tc>
        <w:tc>
          <w:tcPr>
            <w:tcW w:w="1984" w:type="dxa"/>
            <w:shd w:val="clear" w:color="auto" w:fill="auto"/>
          </w:tcPr>
          <w:p w14:paraId="3EB245A2" w14:textId="6D79C091" w:rsidR="001A030B" w:rsidRPr="00487B5C" w:rsidRDefault="001A030B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62AF2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shd w:val="clear" w:color="auto" w:fill="auto"/>
          </w:tcPr>
          <w:p w14:paraId="4B4A709D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1CF03B1" w14:textId="5C84A9A4" w:rsidR="00B55B65" w:rsidRPr="00487B5C" w:rsidRDefault="00962EA3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0E3FF38C" w14:textId="77777777" w:rsidTr="00784A18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</w:tcPr>
          <w:p w14:paraId="6AD6114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4CAEEF8E" w:rsidR="00B55B65" w:rsidRPr="006E41C3" w:rsidRDefault="00B55B65" w:rsidP="00A92D9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6E41C3">
              <w:rPr>
                <w:rFonts w:ascii="Arial" w:hAnsi="Arial" w:cs="Arial"/>
                <w:sz w:val="18"/>
                <w:szCs w:val="18"/>
              </w:rPr>
              <w:t>,</w:t>
            </w:r>
            <w:r w:rsidR="000F13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1310" w:rsidRPr="006E41C3">
              <w:rPr>
                <w:rFonts w:ascii="Arial" w:hAnsi="Arial" w:cs="Arial"/>
                <w:b/>
                <w:sz w:val="18"/>
                <w:szCs w:val="18"/>
              </w:rPr>
              <w:t>opóźnienie</w:t>
            </w:r>
            <w:r w:rsidR="006E41C3" w:rsidRPr="006E41C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23F3B46E" w14:textId="62638AE0" w:rsidR="000F1310" w:rsidRPr="006E41C3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41C3">
              <w:rPr>
                <w:rFonts w:ascii="Arial" w:hAnsi="Arial" w:cs="Arial"/>
                <w:b/>
                <w:sz w:val="18"/>
                <w:szCs w:val="18"/>
              </w:rPr>
              <w:t xml:space="preserve">Przedłużenie procedur zakupowych w oparciu o przepisy </w:t>
            </w:r>
            <w:r w:rsidR="00A92D97">
              <w:rPr>
                <w:rFonts w:ascii="Arial" w:hAnsi="Arial" w:cs="Arial"/>
                <w:b/>
                <w:sz w:val="18"/>
                <w:szCs w:val="18"/>
              </w:rPr>
              <w:t>znowelizowane przepisy PZP – obowiązujące od 01.01.2021.</w:t>
            </w:r>
            <w:r w:rsidRPr="006E41C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3161C143" w14:textId="2014A514" w:rsidR="000F1310" w:rsidRPr="00487B5C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41C3">
              <w:rPr>
                <w:rFonts w:ascii="Arial" w:hAnsi="Arial" w:cs="Arial"/>
                <w:b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>
              <w:rPr>
                <w:rFonts w:ascii="Arial" w:hAnsi="Arial" w:cs="Arial"/>
                <w:b/>
                <w:sz w:val="18"/>
                <w:szCs w:val="18"/>
              </w:rPr>
              <w:t>z </w:t>
            </w:r>
            <w:r w:rsidRPr="006E41C3">
              <w:rPr>
                <w:rFonts w:ascii="Arial" w:hAnsi="Arial" w:cs="Arial"/>
                <w:b/>
                <w:sz w:val="18"/>
                <w:szCs w:val="18"/>
              </w:rPr>
              <w:t>prośba o</w:t>
            </w:r>
            <w:r w:rsidR="004966C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6E41C3">
              <w:rPr>
                <w:rFonts w:ascii="Arial" w:hAnsi="Arial" w:cs="Arial"/>
                <w:b/>
                <w:sz w:val="18"/>
                <w:szCs w:val="18"/>
              </w:rPr>
              <w:t xml:space="preserve">kontrolę ex-ante. Prośba została rozpatrzona negatywnie a </w:t>
            </w:r>
            <w:r w:rsidR="001C1E16" w:rsidRPr="006E41C3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  <w:r w:rsidRPr="006E41C3">
              <w:rPr>
                <w:rFonts w:ascii="Arial" w:hAnsi="Arial" w:cs="Arial"/>
                <w:b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6E41C3">
              <w:rPr>
                <w:rFonts w:ascii="Arial" w:hAnsi="Arial" w:cs="Arial"/>
                <w:b/>
                <w:sz w:val="18"/>
                <w:szCs w:val="18"/>
              </w:rPr>
              <w:t>Niezależnie od kontaktów z w/w instytucjami w</w:t>
            </w:r>
            <w:r w:rsidRPr="006E41C3">
              <w:rPr>
                <w:rFonts w:ascii="Arial" w:hAnsi="Arial" w:cs="Arial"/>
                <w:b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6E41C3">
              <w:rPr>
                <w:rFonts w:ascii="Arial" w:hAnsi="Arial" w:cs="Arial"/>
                <w:b/>
                <w:sz w:val="18"/>
                <w:szCs w:val="18"/>
              </w:rPr>
              <w:t>czasu właśc</w:t>
            </w:r>
            <w:r w:rsidR="004966CC">
              <w:rPr>
                <w:rFonts w:ascii="Arial" w:hAnsi="Arial" w:cs="Arial"/>
                <w:b/>
                <w:sz w:val="18"/>
                <w:szCs w:val="18"/>
              </w:rPr>
              <w:t>iwego postepowania do 16 dni. Z </w:t>
            </w:r>
            <w:r w:rsidR="00885546" w:rsidRPr="006E41C3">
              <w:rPr>
                <w:rFonts w:ascii="Arial" w:hAnsi="Arial" w:cs="Arial"/>
                <w:b/>
                <w:sz w:val="18"/>
                <w:szCs w:val="18"/>
              </w:rPr>
              <w:t>uwagi na liczne pytania wykonawców</w:t>
            </w:r>
            <w:r w:rsidR="00E113FB" w:rsidRPr="006E41C3">
              <w:rPr>
                <w:rFonts w:ascii="Arial" w:hAnsi="Arial" w:cs="Arial"/>
                <w:b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6E41C3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E113FB" w:rsidRPr="006E41C3">
              <w:rPr>
                <w:rFonts w:ascii="Arial" w:hAnsi="Arial" w:cs="Arial"/>
                <w:b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6E41C3">
              <w:rPr>
                <w:rFonts w:ascii="Arial" w:hAnsi="Arial" w:cs="Arial"/>
                <w:b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6E41C3">
              <w:rPr>
                <w:rFonts w:ascii="Arial" w:hAnsi="Arial" w:cs="Arial"/>
                <w:b/>
                <w:sz w:val="18"/>
                <w:szCs w:val="18"/>
              </w:rPr>
              <w:t>. Beneficjent</w:t>
            </w:r>
            <w:r w:rsidR="006E41C3" w:rsidRPr="006E41C3">
              <w:rPr>
                <w:rFonts w:ascii="Arial" w:hAnsi="Arial" w:cs="Arial"/>
                <w:b/>
                <w:sz w:val="18"/>
                <w:szCs w:val="18"/>
              </w:rPr>
              <w:t xml:space="preserve"> (w obawie o nałożenie korekty finansowej przez CPPC)</w:t>
            </w:r>
            <w:r w:rsidR="00E113FB" w:rsidRPr="006E41C3">
              <w:rPr>
                <w:rFonts w:ascii="Arial" w:hAnsi="Arial" w:cs="Arial"/>
                <w:b/>
                <w:sz w:val="18"/>
                <w:szCs w:val="18"/>
              </w:rPr>
              <w:t xml:space="preserve"> podjął decyzję </w:t>
            </w:r>
            <w:r w:rsidR="0075331D" w:rsidRPr="006E41C3">
              <w:rPr>
                <w:rFonts w:ascii="Arial" w:hAnsi="Arial" w:cs="Arial"/>
                <w:b/>
                <w:sz w:val="18"/>
                <w:szCs w:val="18"/>
              </w:rPr>
              <w:t xml:space="preserve">o </w:t>
            </w:r>
            <w:r w:rsidR="006E41C3" w:rsidRPr="006E41C3">
              <w:rPr>
                <w:rFonts w:ascii="Arial" w:hAnsi="Arial" w:cs="Arial"/>
                <w:b/>
                <w:sz w:val="18"/>
                <w:szCs w:val="18"/>
              </w:rPr>
              <w:t>unieważnieniu postępowania. Planowany termin otwarcia ofert w nowym postępowaniu to 07.05.2021</w:t>
            </w:r>
            <w:r w:rsidR="00A92D97">
              <w:rPr>
                <w:rFonts w:ascii="Arial" w:hAnsi="Arial" w:cs="Arial"/>
                <w:b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022C98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2022-04-30</w:t>
            </w: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7ACE94D9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1448" w:type="dxa"/>
            <w:shd w:val="clear" w:color="auto" w:fill="auto"/>
          </w:tcPr>
          <w:p w14:paraId="2CD12996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6F353941" w14:textId="63563856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6F9FC946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2021-05-31</w:t>
            </w:r>
          </w:p>
        </w:tc>
        <w:tc>
          <w:tcPr>
            <w:tcW w:w="1448" w:type="dxa"/>
            <w:shd w:val="clear" w:color="auto" w:fill="auto"/>
          </w:tcPr>
          <w:p w14:paraId="2F6881F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74FC8C3" w14:textId="7DBC2A2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16D88611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120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850A7E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2021-08-31</w:t>
            </w:r>
          </w:p>
        </w:tc>
        <w:tc>
          <w:tcPr>
            <w:tcW w:w="1448" w:type="dxa"/>
            <w:shd w:val="clear" w:color="auto" w:fill="auto"/>
          </w:tcPr>
          <w:p w14:paraId="33F056CC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63E8D7A" w14:textId="36A953F6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23CD803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210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E22DE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2022-01-30</w:t>
            </w: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E78D649" w14:textId="1906D6B7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7CF1B81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88A2B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2022-06-30</w:t>
            </w: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3667F5D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11853B1" w14:textId="77777777" w:rsidTr="00784A18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38AB6E9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FF3539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2021-05-31</w:t>
            </w:r>
          </w:p>
        </w:tc>
        <w:tc>
          <w:tcPr>
            <w:tcW w:w="1448" w:type="dxa"/>
            <w:shd w:val="clear" w:color="auto" w:fill="auto"/>
          </w:tcPr>
          <w:p w14:paraId="77A99AC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0A2D028" w14:textId="4D4FC86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046A4111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180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38057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2021-08-31</w:t>
            </w:r>
          </w:p>
        </w:tc>
        <w:tc>
          <w:tcPr>
            <w:tcW w:w="1448" w:type="dxa"/>
            <w:shd w:val="clear" w:color="auto" w:fill="auto"/>
          </w:tcPr>
          <w:p w14:paraId="15378B6B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0EEC36C8" w14:textId="08C8A65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659048AD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315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5E3FDA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2022-01-30</w:t>
            </w:r>
          </w:p>
        </w:tc>
        <w:tc>
          <w:tcPr>
            <w:tcW w:w="1448" w:type="dxa"/>
            <w:shd w:val="clear" w:color="auto" w:fill="auto"/>
          </w:tcPr>
          <w:p w14:paraId="58C4514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6E1A41" w14:textId="14A2EA1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BD7A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2022-06-30</w:t>
            </w: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48FA756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4A4711A" w14:textId="77777777" w:rsidTr="00784A18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Utworzenie ścieżek bioinformatycznych</w:t>
            </w:r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2021-04-30</w:t>
            </w:r>
          </w:p>
        </w:tc>
        <w:tc>
          <w:tcPr>
            <w:tcW w:w="1448" w:type="dxa"/>
            <w:shd w:val="clear" w:color="auto" w:fill="auto"/>
          </w:tcPr>
          <w:p w14:paraId="1A6FA74A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8717BBA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Walidacja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14A540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2021-07-31</w:t>
            </w:r>
          </w:p>
        </w:tc>
        <w:tc>
          <w:tcPr>
            <w:tcW w:w="1448" w:type="dxa"/>
            <w:shd w:val="clear" w:color="auto" w:fill="auto"/>
          </w:tcPr>
          <w:p w14:paraId="6B1442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4B77BB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Realizacja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2023-02-28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26E99BB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– 15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2023-02-28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777777" w:rsidR="00B55B65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– 750 szt.</w:t>
            </w:r>
          </w:p>
          <w:p w14:paraId="42D6FA67" w14:textId="51A17C09" w:rsidR="002D6B68" w:rsidRPr="00487B5C" w:rsidRDefault="002D6B68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15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78CBB6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90129" w14:textId="77777777" w:rsidR="00B55B65" w:rsidRPr="00487B5C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4D4E">
              <w:rPr>
                <w:rFonts w:ascii="Arial" w:hAnsi="Arial" w:cs="Arial"/>
                <w:b/>
                <w:sz w:val="18"/>
                <w:szCs w:val="18"/>
              </w:rPr>
              <w:t>Zadanie 3 - Kierownik projektu + studium wykonalności"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E7D73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F92D9" w14:textId="77777777" w:rsidR="00B55B65" w:rsidRPr="00487B5C" w:rsidRDefault="00B55B65" w:rsidP="00B55B6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16227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F4B68" w14:textId="6391DD62" w:rsidR="00B55B65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97289" w14:textId="77777777" w:rsidR="00B55B65" w:rsidRPr="00487B5C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77777777" w:rsidR="00B55B65" w:rsidRPr="00487B5C" w:rsidRDefault="00B55B65" w:rsidP="00B55B6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77777777" w:rsidR="00B5402A" w:rsidRPr="00487B5C" w:rsidRDefault="00B5402A" w:rsidP="00B55B6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0D2027C3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5A22973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>Liczba zdigitalizowanych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1CA5BF7" w14:textId="52DD305D" w:rsidR="007F0172" w:rsidRDefault="000C7100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2264" w:type="dxa"/>
            <w:shd w:val="clear" w:color="auto" w:fill="auto"/>
          </w:tcPr>
          <w:p w14:paraId="0B36E7A1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7CEF06B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pobrań/odtworzeń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3750</w:t>
            </w:r>
          </w:p>
        </w:tc>
        <w:tc>
          <w:tcPr>
            <w:tcW w:w="1707" w:type="dxa"/>
            <w:shd w:val="clear" w:color="auto" w:fill="auto"/>
          </w:tcPr>
          <w:p w14:paraId="5339B751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2024</w:t>
            </w:r>
            <w:r w:rsidRPr="00487B5C">
              <w:rPr>
                <w:rFonts w:ascii="Arial" w:hAnsi="Arial" w:cs="Arial"/>
                <w:sz w:val="18"/>
                <w:szCs w:val="18"/>
              </w:rPr>
              <w:t>-03-31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65115213" w14:textId="1BFDB328" w:rsidR="007F0172" w:rsidRDefault="000C7100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29483843" w14:textId="77777777" w:rsidR="0045061C" w:rsidRDefault="00487B5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BEC2FF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C4B5880" w14:textId="77777777" w:rsidR="00FE27CA" w:rsidRDefault="00A42D25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77777777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Kolekcja POPULOUS fragment 300 Genomów (WGS) i 450 Egzomów (WES)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Nagwek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3603640B" w14:textId="77777777" w:rsidR="00FE27CA" w:rsidRDefault="00487B5C">
            <w:pPr>
              <w:spacing w:after="0" w:line="240" w:lineRule="auto"/>
            </w:pPr>
            <w:r>
              <w:t>Instancja Local EGA</w:t>
            </w:r>
          </w:p>
        </w:tc>
        <w:tc>
          <w:tcPr>
            <w:tcW w:w="1700" w:type="dxa"/>
            <w:shd w:val="clear" w:color="auto" w:fill="auto"/>
          </w:tcPr>
          <w:p w14:paraId="3B21BEB5" w14:textId="77777777" w:rsidR="00FE27CA" w:rsidRDefault="008E5649">
            <w:pPr>
              <w:spacing w:after="0" w:line="240" w:lineRule="auto"/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7DE238BA" w14:textId="77777777" w:rsidR="008E5649" w:rsidRPr="00285F06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85F06">
              <w:rPr>
                <w:rFonts w:ascii="Arial" w:hAnsi="Arial" w:cs="Arial"/>
                <w:sz w:val="18"/>
                <w:szCs w:val="18"/>
                <w:lang w:val="en-US"/>
              </w:rPr>
              <w:t>KRONIK@,</w:t>
            </w:r>
          </w:p>
          <w:p w14:paraId="6AA73599" w14:textId="77777777" w:rsidR="008E5649" w:rsidRPr="003626D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626D9">
              <w:rPr>
                <w:rFonts w:ascii="Arial" w:hAnsi="Arial" w:cs="Arial"/>
                <w:sz w:val="18"/>
                <w:szCs w:val="18"/>
                <w:lang w:val="en-GB"/>
              </w:rPr>
              <w:t xml:space="preserve">European Genome-Phenome Archive (EGA), </w:t>
            </w:r>
          </w:p>
          <w:p w14:paraId="2BC01C81" w14:textId="77777777" w:rsidR="008E5649" w:rsidRPr="008E564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Utworzenie sieci biobanków w Polsce w obrębie Infrastruktury Badawczej Biobanków i Zasobów</w:t>
            </w:r>
          </w:p>
          <w:p w14:paraId="04124640" w14:textId="77777777" w:rsidR="008E564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 xml:space="preserve">Biomolekularnych BBMRI-ERIC, </w:t>
            </w:r>
          </w:p>
          <w:p w14:paraId="4C1DC05E" w14:textId="77777777" w:rsidR="008E5649" w:rsidRPr="008E564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Rola transporterów oporności wielolekowej w farmakokinetyce i toksykologii – testy in vitro w</w:t>
            </w:r>
          </w:p>
          <w:p w14:paraId="2C69BC0D" w14:textId="77777777" w:rsidR="00FE27CA" w:rsidRPr="008E5649" w:rsidRDefault="008E5649" w:rsidP="008E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praktyce farmaceutycznej i klinicznej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r>
              <w:t>Zdigitalizowane zasoby nauki</w:t>
            </w:r>
          </w:p>
        </w:tc>
        <w:tc>
          <w:tcPr>
            <w:tcW w:w="1700" w:type="dxa"/>
            <w:shd w:val="clear" w:color="auto" w:fill="auto"/>
          </w:tcPr>
          <w:p w14:paraId="39E97791" w14:textId="5FB91B08" w:rsidR="00CB4ADB" w:rsidRPr="00487B5C" w:rsidRDefault="000C71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0192959" w14:textId="77777777" w:rsidR="000C7100" w:rsidRPr="008E5649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Rola transporterów oporności wielolekowej w farmakokinetyce i toksykologii – testy in vitro w</w:t>
            </w:r>
          </w:p>
          <w:p w14:paraId="34F4A218" w14:textId="40543278" w:rsidR="00CB4ADB" w:rsidRPr="00285F06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praktyce farmaceutycznej i klinicznej</w:t>
            </w:r>
          </w:p>
        </w:tc>
      </w:tr>
      <w:tr w:rsidR="00CB4ADB" w:rsidRPr="008E5649" w14:paraId="650646C8" w14:textId="77777777"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1DE59049" w:rsidR="00CB4ADB" w:rsidRPr="00487B5C" w:rsidRDefault="000C71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2021-03-01</w:t>
            </w:r>
          </w:p>
        </w:tc>
        <w:tc>
          <w:tcPr>
            <w:tcW w:w="1843" w:type="dxa"/>
            <w:shd w:val="clear" w:color="auto" w:fill="auto"/>
          </w:tcPr>
          <w:p w14:paraId="7CC8282A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4042A014" w14:textId="77777777" w:rsidR="000C7100" w:rsidRPr="008E5649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Utworzenie sieci biobanków w Polsce w obrębie Infrastruktury Badawczej Biobanków i Zasobów</w:t>
            </w:r>
          </w:p>
          <w:p w14:paraId="25B9D3FD" w14:textId="5703FA3A" w:rsidR="00CB4ADB" w:rsidRPr="00285F06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Biomolekularnych BBMRI-ERIC</w:t>
            </w:r>
          </w:p>
        </w:tc>
      </w:tr>
    </w:tbl>
    <w:p w14:paraId="54C91BEA" w14:textId="77777777" w:rsidR="00FE27CA" w:rsidRPr="008E5649" w:rsidRDefault="00FE27CA">
      <w:pPr>
        <w:rPr>
          <w:lang w:val="en-GB"/>
        </w:rPr>
      </w:pPr>
    </w:p>
    <w:p w14:paraId="4240C456" w14:textId="77777777" w:rsidR="00FE27CA" w:rsidRDefault="00A42D2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9B8F966" w14:textId="77777777" w:rsidR="00FE27CA" w:rsidRDefault="00A42D25">
      <w:pPr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  <w:p w14:paraId="3B59FCE5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5F5D26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20854DCF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5F5D26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142B7E3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05D029C8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Unikanie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3F07BCF3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1E09415D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41D577D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5F5D26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</w:tc>
      </w:tr>
      <w:tr w:rsidR="005853A6" w14:paraId="58A68610" w14:textId="77777777" w:rsidTr="005853A6">
        <w:tc>
          <w:tcPr>
            <w:tcW w:w="3544" w:type="dxa"/>
            <w:shd w:val="clear" w:color="auto" w:fill="auto"/>
            <w:vAlign w:val="center"/>
          </w:tcPr>
          <w:p w14:paraId="537EB296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"Cena odczynników do uzyskania cyfrowej sekwencji genomu/egzomu zależy wprost od kursów USD/PLN i EURO/PLN. Znaczne osłabienie złotego względem tych walut może znacząco zmienić ceny zakupu. "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711B958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6400AC07" w14:textId="77777777" w:rsidR="005853A6" w:rsidRPr="005F5D26" w:rsidRDefault="00CC780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08D46EAD" w14:textId="77777777" w:rsidR="005853A6" w:rsidRPr="005F5D26" w:rsidRDefault="005853A6" w:rsidP="00CC78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5F5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5F5D26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W trakcie trwania okresu realizacji projektu wejdą w życie przezpisy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5F5D26">
              <w:rPr>
                <w:rFonts w:ascii="Arial" w:hAnsi="Arial" w:cs="Arial"/>
                <w:sz w:val="18"/>
                <w:szCs w:val="18"/>
              </w:rPr>
              <w:t>, Podjęto próbę przeprowadzenia kontroli ex-ant</w:t>
            </w:r>
            <w:r w:rsidR="007D6B57" w:rsidRPr="005F5D26">
              <w:rPr>
                <w:rFonts w:ascii="Arial" w:hAnsi="Arial" w:cs="Arial"/>
                <w:sz w:val="18"/>
                <w:szCs w:val="18"/>
              </w:rPr>
              <w:t>e</w:t>
            </w:r>
            <w:r w:rsidR="009A479A" w:rsidRPr="005F5D26">
              <w:rPr>
                <w:rFonts w:ascii="Arial" w:hAnsi="Arial" w:cs="Arial"/>
                <w:sz w:val="18"/>
                <w:szCs w:val="18"/>
              </w:rPr>
              <w:t xml:space="preserve"> oraz pozyskania wsparcia ze strony COI (POPCwsparcie)</w:t>
            </w:r>
          </w:p>
          <w:p w14:paraId="26B55D26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5F5D26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5F5D26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3569498C" w14:textId="77777777" w:rsidR="005853A6" w:rsidRPr="005F5D26" w:rsidRDefault="00784A18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Zespół projektowy dołoży wszelkich starań aby przewidzieć możliwie wcześniej ryzyka zmian i odpowiednio nimi zarządzać. Podnoszenie kompetencji w zakresie zarządzania zmianą.</w:t>
            </w:r>
          </w:p>
          <w:p w14:paraId="23375880" w14:textId="77777777" w:rsidR="00784A18" w:rsidRPr="005F5D26" w:rsidRDefault="00784A18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415B5FA9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01BF4538" w14:textId="77777777" w:rsidR="007D6B57" w:rsidRPr="005F5D26" w:rsidRDefault="007D6B57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Próba oceny SIWZ przez CPPC – kontrola ex-ante, oraz pozyskania wsparcia ze strony COI (POPCwsparcie)</w:t>
            </w:r>
            <w:r w:rsidR="00784A18" w:rsidRPr="005F5D26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1CF3842" w14:textId="77777777" w:rsidR="005853A6" w:rsidRPr="005F5D26" w:rsidRDefault="00784A1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77777777" w:rsidR="00784A18" w:rsidRPr="005F5D26" w:rsidRDefault="00784A18" w:rsidP="00784A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[Brak zmiany w stosunku do poprzedniego okresu] 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54E78ADA" w14:textId="77777777" w:rsidR="005853A6" w:rsidRPr="005F5D26" w:rsidRDefault="00784A18" w:rsidP="00784A1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77777777" w:rsidR="00681DB2" w:rsidRPr="005F5D26" w:rsidRDefault="00681DB2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4B892264" w14:textId="77777777" w:rsidR="00681DB2" w:rsidRPr="005F5D26" w:rsidRDefault="00681DB2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</w:p>
          <w:p w14:paraId="66F9290C" w14:textId="77777777" w:rsidR="005853A6" w:rsidRPr="005F5D26" w:rsidRDefault="00681DB2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zdigitalizowanych zasobów 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77777777" w:rsidR="005853A6" w:rsidRPr="005F5D26" w:rsidRDefault="00784A1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</w:p>
          <w:p w14:paraId="58FA1A80" w14:textId="77777777" w:rsidR="00784A18" w:rsidRPr="005F5D26" w:rsidRDefault="00784A18" w:rsidP="00784A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25D1B" w14:textId="77777777" w:rsidR="007D6B57" w:rsidRPr="005F5D26" w:rsidRDefault="007D6B57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5F5D26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  <w:r w:rsidRPr="005F5D26">
              <w:rPr>
                <w:rFonts w:ascii="Arial" w:hAnsi="Arial" w:cs="Arial"/>
                <w:sz w:val="18"/>
                <w:szCs w:val="18"/>
              </w:rPr>
              <w:t>.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Spodziewane/faktyczne efekty działań:</w:t>
            </w:r>
            <w:r w:rsidR="00681DB2"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5F5D26">
              <w:rPr>
                <w:rFonts w:ascii="Arial" w:hAnsi="Arial" w:cs="Arial"/>
                <w:sz w:val="18"/>
                <w:szCs w:val="18"/>
              </w:rPr>
              <w:t>wczesna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5F5D26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5F5D26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Legenda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77777777" w:rsidR="005F5D26" w:rsidRPr="005F5D26" w:rsidRDefault="005F5D26" w:rsidP="005F5D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6ADC69D8" w14:textId="77777777" w:rsidR="005F5D26" w:rsidRPr="005F5D26" w:rsidRDefault="005F5D26" w:rsidP="005F5D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</w:p>
          <w:p w14:paraId="24D56135" w14:textId="77777777" w:rsidR="00FE27CA" w:rsidRPr="005F5D26" w:rsidRDefault="005F5D26" w:rsidP="005F5D26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Duże zainteresowanie i wysoki poziom wykorzystania zdigitalizowanych zasobów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1C9A5" w14:textId="77777777" w:rsidR="00681DB2" w:rsidRPr="005F5D26" w:rsidRDefault="00681DB2" w:rsidP="00681DB2">
            <w:pPr>
              <w:spacing w:after="0" w:line="240" w:lineRule="auto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legislacyjno-prawną .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wczesna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F5D26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</w:tc>
      </w:tr>
    </w:tbl>
    <w:p w14:paraId="4000160B" w14:textId="77777777" w:rsidR="00FE27CA" w:rsidRDefault="00A42D25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9EA6E08" w14:textId="77777777" w:rsidR="00FE27CA" w:rsidRDefault="00A42D25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318C1A46" w14:textId="77777777" w:rsidR="00FE27CA" w:rsidRDefault="00FE27CA">
      <w:pPr>
        <w:spacing w:after="0"/>
        <w:jc w:val="both"/>
      </w:pPr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83769" w14:textId="77777777" w:rsidR="005B3E52" w:rsidRDefault="005B3E52">
      <w:pPr>
        <w:spacing w:after="0" w:line="240" w:lineRule="auto"/>
      </w:pPr>
      <w:r>
        <w:separator/>
      </w:r>
    </w:p>
  </w:endnote>
  <w:endnote w:type="continuationSeparator" w:id="0">
    <w:p w14:paraId="579ACE75" w14:textId="77777777" w:rsidR="005B3E52" w:rsidRDefault="005B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253C30F8" w:rsidR="00A92D97" w:rsidRDefault="00A92D97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5B3E52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8</w:t>
        </w:r>
      </w:p>
    </w:sdtContent>
  </w:sdt>
  <w:p w14:paraId="3659F028" w14:textId="77777777" w:rsidR="00A92D97" w:rsidRDefault="00A92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66A1F" w14:textId="77777777" w:rsidR="005B3E52" w:rsidRDefault="005B3E52"/>
  </w:footnote>
  <w:footnote w:type="continuationSeparator" w:id="0">
    <w:p w14:paraId="5A23CEA1" w14:textId="77777777" w:rsidR="005B3E52" w:rsidRDefault="005B3E52">
      <w:r>
        <w:continuationSeparator/>
      </w:r>
    </w:p>
  </w:footnote>
  <w:footnote w:id="1">
    <w:p w14:paraId="0C018848" w14:textId="77777777" w:rsidR="00A92D97" w:rsidRDefault="00A92D97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CA"/>
    <w:rsid w:val="00077550"/>
    <w:rsid w:val="00080934"/>
    <w:rsid w:val="00096CF0"/>
    <w:rsid w:val="000B72BD"/>
    <w:rsid w:val="000C7100"/>
    <w:rsid w:val="000F1310"/>
    <w:rsid w:val="0010069F"/>
    <w:rsid w:val="00145858"/>
    <w:rsid w:val="00150FBC"/>
    <w:rsid w:val="001A030B"/>
    <w:rsid w:val="001C1E16"/>
    <w:rsid w:val="00274130"/>
    <w:rsid w:val="00285F06"/>
    <w:rsid w:val="002D6B68"/>
    <w:rsid w:val="00306365"/>
    <w:rsid w:val="003626D9"/>
    <w:rsid w:val="003655B3"/>
    <w:rsid w:val="00366B81"/>
    <w:rsid w:val="00385245"/>
    <w:rsid w:val="003B05D1"/>
    <w:rsid w:val="003B760A"/>
    <w:rsid w:val="003D4D9E"/>
    <w:rsid w:val="004218FA"/>
    <w:rsid w:val="00423020"/>
    <w:rsid w:val="00424AA5"/>
    <w:rsid w:val="00445C15"/>
    <w:rsid w:val="0045061C"/>
    <w:rsid w:val="00480D61"/>
    <w:rsid w:val="00487B5C"/>
    <w:rsid w:val="004966CC"/>
    <w:rsid w:val="004A1DDB"/>
    <w:rsid w:val="00527D09"/>
    <w:rsid w:val="00532520"/>
    <w:rsid w:val="005853A6"/>
    <w:rsid w:val="005871C9"/>
    <w:rsid w:val="005B3E52"/>
    <w:rsid w:val="005F5D26"/>
    <w:rsid w:val="006106F7"/>
    <w:rsid w:val="00662A36"/>
    <w:rsid w:val="00681DB2"/>
    <w:rsid w:val="00682B3C"/>
    <w:rsid w:val="006A733C"/>
    <w:rsid w:val="006C45C3"/>
    <w:rsid w:val="006C4864"/>
    <w:rsid w:val="006E2D4C"/>
    <w:rsid w:val="006E41C3"/>
    <w:rsid w:val="006E7E38"/>
    <w:rsid w:val="00743E77"/>
    <w:rsid w:val="0075331D"/>
    <w:rsid w:val="00753FAA"/>
    <w:rsid w:val="00766999"/>
    <w:rsid w:val="00766DFF"/>
    <w:rsid w:val="00784A18"/>
    <w:rsid w:val="007B31F7"/>
    <w:rsid w:val="007D6B57"/>
    <w:rsid w:val="007F0172"/>
    <w:rsid w:val="00800986"/>
    <w:rsid w:val="0083203F"/>
    <w:rsid w:val="00885546"/>
    <w:rsid w:val="00895392"/>
    <w:rsid w:val="008C23FC"/>
    <w:rsid w:val="008E5649"/>
    <w:rsid w:val="00914D4E"/>
    <w:rsid w:val="00925B4D"/>
    <w:rsid w:val="00962EA3"/>
    <w:rsid w:val="00972BEF"/>
    <w:rsid w:val="009768DE"/>
    <w:rsid w:val="0098544A"/>
    <w:rsid w:val="00987C95"/>
    <w:rsid w:val="009A479A"/>
    <w:rsid w:val="00A42D25"/>
    <w:rsid w:val="00A8272F"/>
    <w:rsid w:val="00A9000D"/>
    <w:rsid w:val="00A92D97"/>
    <w:rsid w:val="00B5402A"/>
    <w:rsid w:val="00B55B65"/>
    <w:rsid w:val="00B9076A"/>
    <w:rsid w:val="00CB4ADB"/>
    <w:rsid w:val="00CC46D0"/>
    <w:rsid w:val="00CC7803"/>
    <w:rsid w:val="00D63D7E"/>
    <w:rsid w:val="00DB671B"/>
    <w:rsid w:val="00DF7AC9"/>
    <w:rsid w:val="00E113FB"/>
    <w:rsid w:val="00E221E2"/>
    <w:rsid w:val="00ED3662"/>
    <w:rsid w:val="00F0553E"/>
    <w:rsid w:val="00FB1FBF"/>
    <w:rsid w:val="00FB42E4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1B410-A1FE-4284-93B2-B82B7A61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1952</Words>
  <Characters>11713</Characters>
  <Application>Microsoft Office Word</Application>
  <DocSecurity>0</DocSecurity>
  <Lines>97</Lines>
  <Paragraphs>27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  <vt:variant>
        <vt:lpstr>Title</vt:lpstr>
      </vt:variant>
      <vt:variant>
        <vt:i4>1</vt:i4>
      </vt:variant>
    </vt:vector>
  </HeadingPairs>
  <TitlesOfParts>
    <vt:vector size="12" baseType="lpstr">
      <vt:lpstr/>
      <vt:lpstr>Raport z postępu rzeczowo-finansowego projektu informatycznego </vt:lpstr>
      <vt:lpstr>Za IV kwartał 2020 roku</vt:lpstr>
      <vt:lpstr>    Otoczenie prawne &lt;maksymalnie 1000 znaków&gt;</vt:lpstr>
      <vt:lpstr>        Projekt nie wymaga wprowadzenia zmian legislacyjnych</vt:lpstr>
      <vt:lpstr>    Postęp finansowy</vt:lpstr>
      <vt:lpstr>        </vt:lpstr>
      <vt:lpstr>        Postęp rzeczowy &lt;maksymalnie 5000 znaków&gt;</vt:lpstr>
      <vt:lpstr>    E-usługi A2A, A2B, A2C &lt;maksymalnie 2000 znaków&gt;</vt:lpstr>
      <vt:lpstr>    Udostępnione informacje sektora publicznego i zdigitalizowane zasoby &lt;maksymalni</vt:lpstr>
      <vt:lpstr>        Produkty końcowe projektu (inne niż wskazane w pkt 4 i 5) &lt;maksymalnie 2000 znak</vt:lpstr>
      <vt:lpstr/>
    </vt:vector>
  </TitlesOfParts>
  <Company>Ministerstwo Cyfryzacji</Company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5</cp:revision>
  <cp:lastPrinted>2020-02-05T11:09:00Z</cp:lastPrinted>
  <dcterms:created xsi:type="dcterms:W3CDTF">2021-05-04T07:59:00Z</dcterms:created>
  <dcterms:modified xsi:type="dcterms:W3CDTF">2021-05-28T10:38:00Z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